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6463D0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220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Новокусковского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Новокусковского сельского поселения: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28.07.2014 № 139 «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принятия 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05.04.2016 № 80 «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28.07.2014 № 139 «Об утверждении Порядка разработки, принятия и реализации муниципальных программ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Новокусковского сельского поселения </w:t>
      </w:r>
      <w:hyperlink r:id="rId8" w:history="1">
        <w:r w:rsidRPr="009F2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по управлению делами.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6463D0" w:rsidRDefault="006463D0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D25E0E" w:rsidRDefault="00D25E0E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Pr="006463D0" w:rsidRDefault="00F11725" w:rsidP="006463D0">
      <w:pPr>
        <w:spacing w:after="0"/>
        <w:ind w:left="5387"/>
        <w:rPr>
          <w:rFonts w:ascii="Times New Roman" w:hAnsi="Times New Roman"/>
        </w:rPr>
      </w:pPr>
      <w:bookmarkStart w:id="0" w:name="Par48"/>
      <w:bookmarkEnd w:id="0"/>
      <w:r w:rsidRPr="006463D0">
        <w:rPr>
          <w:rFonts w:ascii="Times New Roman" w:hAnsi="Times New Roman"/>
        </w:rPr>
        <w:lastRenderedPageBreak/>
        <w:t xml:space="preserve">Приложение </w:t>
      </w:r>
      <w:r w:rsidR="009F2E61" w:rsidRPr="006463D0">
        <w:rPr>
          <w:rFonts w:ascii="Times New Roman" w:hAnsi="Times New Roman"/>
        </w:rPr>
        <w:t>№ 1</w:t>
      </w:r>
      <w:r w:rsidR="00D25E0E" w:rsidRPr="006463D0">
        <w:rPr>
          <w:rFonts w:ascii="Times New Roman" w:hAnsi="Times New Roman"/>
        </w:rPr>
        <w:t xml:space="preserve">к </w:t>
      </w:r>
      <w:r w:rsidR="009F2E61" w:rsidRPr="006463D0">
        <w:rPr>
          <w:rFonts w:ascii="Times New Roman" w:hAnsi="Times New Roman"/>
        </w:rPr>
        <w:t>постановлени</w:t>
      </w:r>
      <w:r w:rsidR="00D25E0E" w:rsidRPr="006463D0">
        <w:rPr>
          <w:rFonts w:ascii="Times New Roman" w:hAnsi="Times New Roman"/>
        </w:rPr>
        <w:t>ю</w:t>
      </w:r>
      <w:r w:rsidR="009F2E61" w:rsidRPr="006463D0">
        <w:rPr>
          <w:rFonts w:ascii="Times New Roman" w:hAnsi="Times New Roman"/>
        </w:rPr>
        <w:t xml:space="preserve"> Администрации Новокусковского сельского </w:t>
      </w:r>
    </w:p>
    <w:p w:rsidR="00F11725" w:rsidRPr="006463D0" w:rsidRDefault="009F2E61" w:rsidP="006463D0">
      <w:pPr>
        <w:spacing w:after="0"/>
        <w:ind w:left="5387"/>
        <w:rPr>
          <w:rFonts w:ascii="Times New Roman" w:hAnsi="Times New Roman"/>
        </w:rPr>
      </w:pPr>
      <w:r w:rsidRPr="006463D0">
        <w:rPr>
          <w:rFonts w:ascii="Times New Roman" w:hAnsi="Times New Roman"/>
        </w:rPr>
        <w:t xml:space="preserve">поселения от </w:t>
      </w:r>
      <w:r w:rsidR="006463D0">
        <w:rPr>
          <w:rFonts w:ascii="Times New Roman" w:hAnsi="Times New Roman"/>
        </w:rPr>
        <w:t>26.10.2018</w:t>
      </w:r>
      <w:r w:rsidRPr="006463D0">
        <w:rPr>
          <w:rFonts w:ascii="Times New Roman" w:hAnsi="Times New Roman"/>
        </w:rPr>
        <w:t xml:space="preserve"> № </w:t>
      </w:r>
      <w:r w:rsidR="006463D0">
        <w:rPr>
          <w:rFonts w:ascii="Times New Roman" w:hAnsi="Times New Roman"/>
        </w:rPr>
        <w:t>220</w:t>
      </w:r>
      <w:r w:rsidR="00F11725" w:rsidRPr="006463D0">
        <w:rPr>
          <w:rFonts w:ascii="Times New Roman" w:hAnsi="Times New Roman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Новокусковского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</w:t>
      </w:r>
      <w:proofErr w:type="spellStart"/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Новокусковского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E335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</w:t>
      </w:r>
      <w:r w:rsidR="008C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5364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5"/>
      <w:bookmarkEnd w:id="7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Новокусковского сельского поселения от _________ № 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Новокусковского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Новокусковского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Новокусковского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5"/>
      <w:bookmarkEnd w:id="8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реализации муниципальных программ Новокусковского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83"/>
      <w:bookmarkEnd w:id="1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0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46"/>
      <w:bookmarkEnd w:id="14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1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CF4FE3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CF4FE3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7"/>
      <w:bookmarkEnd w:id="16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gramStart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бюджет(</w:t>
            </w:r>
            <w:proofErr w:type="gramEnd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17"/>
      <w:bookmarkStart w:id="18" w:name="Par626"/>
      <w:bookmarkEnd w:id="17"/>
      <w:bookmarkEnd w:id="18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32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653"/>
            <w:bookmarkEnd w:id="20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91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770"/>
      <w:bookmarkEnd w:id="22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98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4" w:name="Par1204"/>
      <w:bookmarkEnd w:id="24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210"/>
      <w:bookmarkEnd w:id="25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ar1240"/>
            <w:bookmarkEnd w:id="26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77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385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47"/>
      <w:bookmarkEnd w:id="2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реализации муниципальных программ Новокусковского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50"/>
        <w:gridCol w:w="1850"/>
        <w:gridCol w:w="1901"/>
        <w:gridCol w:w="1382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распорядитель </w:t>
            </w:r>
            <w:proofErr w:type="gramStart"/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  местного</w:t>
            </w:r>
            <w:proofErr w:type="gramEnd"/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Par27"/>
      <w:bookmarkEnd w:id="30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Новокусковского сельского поселения от </w:t>
      </w:r>
      <w:r w:rsidR="006463D0">
        <w:rPr>
          <w:rFonts w:ascii="Times New Roman" w:hAnsi="Times New Roman"/>
          <w:sz w:val="24"/>
          <w:szCs w:val="24"/>
        </w:rPr>
        <w:t>26.10.2018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463D0">
        <w:rPr>
          <w:rFonts w:ascii="Times New Roman" w:hAnsi="Times New Roman"/>
          <w:sz w:val="24"/>
          <w:szCs w:val="24"/>
        </w:rPr>
        <w:t>220</w:t>
      </w:r>
      <w:bookmarkStart w:id="31" w:name="_GoBack"/>
      <w:bookmarkEnd w:id="31"/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</w:t>
      </w:r>
      <w:proofErr w:type="spellStart"/>
      <w:r w:rsidRPr="007355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550E">
        <w:rPr>
          <w:rFonts w:ascii="Times New Roman" w:hAnsi="Times New Roman" w:cs="Times New Roman"/>
          <w:sz w:val="24"/>
          <w:szCs w:val="24"/>
        </w:rPr>
        <w:t xml:space="preserve">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</w:t>
      </w:r>
      <w:proofErr w:type="spellStart"/>
      <w:r w:rsidRPr="007355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550E">
        <w:rPr>
          <w:rFonts w:ascii="Times New Roman" w:hAnsi="Times New Roman" w:cs="Times New Roman"/>
          <w:sz w:val="24"/>
          <w:szCs w:val="24"/>
        </w:rPr>
        <w:t xml:space="preserve">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CF4FE3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CF4FE3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CF4FE3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CF4FE3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E3" w:rsidRDefault="00CF4FE3">
      <w:pPr>
        <w:spacing w:after="0" w:line="240" w:lineRule="auto"/>
      </w:pPr>
      <w:r>
        <w:separator/>
      </w:r>
    </w:p>
  </w:endnote>
  <w:endnote w:type="continuationSeparator" w:id="0">
    <w:p w:rsidR="00CF4FE3" w:rsidRDefault="00CF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E3" w:rsidRDefault="00CF4FE3">
      <w:pPr>
        <w:spacing w:after="0" w:line="240" w:lineRule="auto"/>
      </w:pPr>
      <w:r>
        <w:separator/>
      </w:r>
    </w:p>
  </w:footnote>
  <w:footnote w:type="continuationSeparator" w:id="0">
    <w:p w:rsidR="00CF4FE3" w:rsidRDefault="00CF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969248"/>
      <w:docPartObj>
        <w:docPartGallery w:val="Page Numbers (Top of Page)"/>
        <w:docPartUnique/>
      </w:docPartObj>
    </w:sdtPr>
    <w:sdtEndPr/>
    <w:sdtContent>
      <w:p w:rsidR="00892F9A" w:rsidRDefault="00892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D0">
          <w:rPr>
            <w:noProof/>
          </w:rPr>
          <w:t>23</w:t>
        </w:r>
        <w:r>
          <w:fldChar w:fldCharType="end"/>
        </w:r>
      </w:p>
    </w:sdtContent>
  </w:sdt>
  <w:p w:rsidR="00892F9A" w:rsidRDefault="00892F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9A" w:rsidRDefault="00892F9A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0014B9"/>
    <w:rsid w:val="00045DD8"/>
    <w:rsid w:val="000F735F"/>
    <w:rsid w:val="001645A6"/>
    <w:rsid w:val="001E3184"/>
    <w:rsid w:val="00231B99"/>
    <w:rsid w:val="002B2538"/>
    <w:rsid w:val="002E2B9D"/>
    <w:rsid w:val="00315364"/>
    <w:rsid w:val="0035751E"/>
    <w:rsid w:val="003C3929"/>
    <w:rsid w:val="004426A0"/>
    <w:rsid w:val="0045518B"/>
    <w:rsid w:val="0047502C"/>
    <w:rsid w:val="00492465"/>
    <w:rsid w:val="004F2D4E"/>
    <w:rsid w:val="00515E2F"/>
    <w:rsid w:val="0054609F"/>
    <w:rsid w:val="00615870"/>
    <w:rsid w:val="006463D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506DC"/>
    <w:rsid w:val="00784CD1"/>
    <w:rsid w:val="00796960"/>
    <w:rsid w:val="007B57D0"/>
    <w:rsid w:val="007C6CCC"/>
    <w:rsid w:val="007F0E6D"/>
    <w:rsid w:val="008130F3"/>
    <w:rsid w:val="00892F9A"/>
    <w:rsid w:val="008C7CAE"/>
    <w:rsid w:val="008D48E8"/>
    <w:rsid w:val="008E1DB5"/>
    <w:rsid w:val="009360B2"/>
    <w:rsid w:val="00964610"/>
    <w:rsid w:val="009B6F0E"/>
    <w:rsid w:val="009F2E61"/>
    <w:rsid w:val="00A1527C"/>
    <w:rsid w:val="00A74213"/>
    <w:rsid w:val="00BC41CB"/>
    <w:rsid w:val="00BE2A7F"/>
    <w:rsid w:val="00C92918"/>
    <w:rsid w:val="00CF4FE3"/>
    <w:rsid w:val="00CF56FB"/>
    <w:rsid w:val="00D2408F"/>
    <w:rsid w:val="00D25E0E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0ADA"/>
    <w:rsid w:val="00F21716"/>
    <w:rsid w:val="00F24E82"/>
    <w:rsid w:val="00F25348"/>
    <w:rsid w:val="00F2759A"/>
    <w:rsid w:val="00F36238"/>
    <w:rsid w:val="00F57B8E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E23B-3014-492B-A5B0-7F495CB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75CE-D45E-4502-BF89-38F16515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6</cp:revision>
  <cp:lastPrinted>2018-10-12T04:38:00Z</cp:lastPrinted>
  <dcterms:created xsi:type="dcterms:W3CDTF">2018-10-25T05:34:00Z</dcterms:created>
  <dcterms:modified xsi:type="dcterms:W3CDTF">2018-10-26T04:54:00Z</dcterms:modified>
</cp:coreProperties>
</file>